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6417"/>
        <w:gridCol w:w="130"/>
        <w:gridCol w:w="1358"/>
        <w:gridCol w:w="1303"/>
        <w:gridCol w:w="26"/>
      </w:tblGrid>
      <w:tr w:rsidR="00AA1362" w:rsidRPr="00AA1362" w14:paraId="069E4B92" w14:textId="77777777" w:rsidTr="00F91A58">
        <w:trPr>
          <w:trHeight w:val="1291"/>
          <w:tblCellSpacing w:w="7" w:type="dxa"/>
        </w:trPr>
        <w:tc>
          <w:tcPr>
            <w:tcW w:w="4985" w:type="pct"/>
            <w:gridSpan w:val="6"/>
            <w:shd w:val="clear" w:color="auto" w:fill="FFFFFF" w:themeFill="background1"/>
            <w:vAlign w:val="center"/>
            <w:hideMark/>
          </w:tcPr>
          <w:p w14:paraId="505276A4" w14:textId="5BBD5C6A" w:rsidR="00AA1362" w:rsidRPr="00AA1362" w:rsidRDefault="00BE06F2" w:rsidP="00BE06F2">
            <w:pPr>
              <w:jc w:val="both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1E49DD" wp14:editId="1D04887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17780</wp:posOffset>
                      </wp:positionV>
                      <wp:extent cx="4800600" cy="7905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BD0A84" w14:textId="77777777" w:rsidR="00BE06F2" w:rsidRDefault="00BE06F2">
                                  <w:r>
                                    <w:t>INCAPACITATED CHILD (21 YEARS OR OVER)</w:t>
                                  </w:r>
                                </w:p>
                                <w:p w14:paraId="40492898" w14:textId="77777777" w:rsidR="00BE06F2" w:rsidRPr="00BE06F2" w:rsidRDefault="00BE06F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E06F2">
                                    <w:rPr>
                                      <w:sz w:val="16"/>
                                    </w:rPr>
                                    <w:t>The “incapacitated child” is a dependent of the sponsor (the service m</w:t>
                                  </w:r>
                                  <w:r>
                                    <w:rPr>
                                      <w:sz w:val="16"/>
                                    </w:rPr>
                                    <w:t>ember) who requires over 50 perc</w:t>
                                  </w:r>
                                  <w:r w:rsidRPr="00BE06F2">
                                    <w:rPr>
                                      <w:sz w:val="16"/>
                                    </w:rPr>
                                    <w:t>ent of his or her support to be covered by the sponsor (if t</w:t>
                                  </w:r>
                                  <w:r>
                                    <w:rPr>
                                      <w:sz w:val="16"/>
                                    </w:rPr>
                                    <w:t>he</w:t>
                                  </w:r>
                                  <w:r w:rsidRPr="00BE06F2">
                                    <w:rPr>
                                      <w:sz w:val="16"/>
                                    </w:rPr>
                                    <w:t xml:space="preserve"> sponsor is deceased, the child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mist have received over 50 perc</w:t>
                                  </w:r>
                                  <w:r w:rsidRPr="00BE06F2">
                                    <w:rPr>
                                      <w:sz w:val="16"/>
                                    </w:rPr>
                                    <w:t>ent of his or her support from t</w:t>
                                  </w:r>
                                  <w:r>
                                    <w:rPr>
                                      <w:sz w:val="16"/>
                                    </w:rPr>
                                    <w:t>he sponsor at the time of death</w:t>
                                  </w:r>
                                  <w:r w:rsidRPr="00BE06F2">
                                    <w:rPr>
                                      <w:sz w:val="16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1E49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0.3pt;margin-top:1.4pt;width:378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" fillcolor="white [3201]" strokeweight=".5pt">
                      <v:textbox>
                        <w:txbxContent>
                          <w:p w14:paraId="05BD0A84" w14:textId="77777777" w:rsidR="00BE06F2" w:rsidRDefault="00BE06F2">
                            <w:r>
                              <w:t>INCAPACITATED CHILD (21 YEARS OR OVER)</w:t>
                            </w:r>
                          </w:p>
                          <w:p w14:paraId="40492898" w14:textId="77777777" w:rsidR="00BE06F2" w:rsidRPr="00BE06F2" w:rsidRDefault="00BE06F2">
                            <w:pPr>
                              <w:rPr>
                                <w:sz w:val="16"/>
                              </w:rPr>
                            </w:pPr>
                            <w:r w:rsidRPr="00BE06F2">
                              <w:rPr>
                                <w:sz w:val="16"/>
                              </w:rPr>
                              <w:t>The “incapacitated child” is a dependent of the sponsor (the service m</w:t>
                            </w:r>
                            <w:r>
                              <w:rPr>
                                <w:sz w:val="16"/>
                              </w:rPr>
                              <w:t>ember) who requires over 50 perc</w:t>
                            </w:r>
                            <w:r w:rsidRPr="00BE06F2">
                              <w:rPr>
                                <w:sz w:val="16"/>
                              </w:rPr>
                              <w:t>ent of his or her support to be covered by the sponsor (if t</w:t>
                            </w:r>
                            <w:r>
                              <w:rPr>
                                <w:sz w:val="16"/>
                              </w:rPr>
                              <w:t>he</w:t>
                            </w:r>
                            <w:r w:rsidRPr="00BE06F2">
                              <w:rPr>
                                <w:sz w:val="16"/>
                              </w:rPr>
                              <w:t xml:space="preserve"> sponsor is deceased, the child</w:t>
                            </w:r>
                            <w:r>
                              <w:rPr>
                                <w:sz w:val="16"/>
                              </w:rPr>
                              <w:t xml:space="preserve"> mist have received over 50 perc</w:t>
                            </w:r>
                            <w:r w:rsidRPr="00BE06F2">
                              <w:rPr>
                                <w:sz w:val="16"/>
                              </w:rPr>
                              <w:t>ent of his or her support from t</w:t>
                            </w:r>
                            <w:r>
                              <w:rPr>
                                <w:sz w:val="16"/>
                              </w:rPr>
                              <w:t>he sponsor at the time of death</w:t>
                            </w:r>
                            <w:r w:rsidRPr="00BE06F2">
                              <w:rPr>
                                <w:sz w:val="16"/>
                              </w:rPr>
                              <w:t>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6CD">
              <w:rPr>
                <w:noProof/>
              </w:rPr>
              <w:drawing>
                <wp:inline distT="0" distB="0" distL="0" distR="0" wp14:anchorId="0A8F2D25" wp14:editId="2D2ECF06">
                  <wp:extent cx="971512" cy="885825"/>
                  <wp:effectExtent l="0" t="0" r="635" b="0"/>
                  <wp:docPr id="3" name="Picture 3" descr="Logo of the Branch, Military Parent Technical Assistanc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nch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26" cy="9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B83" w:rsidRPr="00AA1362" w14:paraId="7009B3CB" w14:textId="77777777" w:rsidTr="00F91A58">
        <w:trPr>
          <w:tblCellSpacing w:w="7" w:type="dxa"/>
        </w:trPr>
        <w:tc>
          <w:tcPr>
            <w:tcW w:w="3558" w:type="pct"/>
            <w:gridSpan w:val="3"/>
            <w:shd w:val="clear" w:color="auto" w:fill="A8D08D" w:themeFill="accent6" w:themeFillTint="99"/>
            <w:vAlign w:val="center"/>
            <w:hideMark/>
          </w:tcPr>
          <w:p w14:paraId="01C5D94A" w14:textId="77777777" w:rsidR="00AA1362" w:rsidRPr="00AA1362" w:rsidRDefault="008A62E4" w:rsidP="00AA1362">
            <w:r>
              <w:rPr>
                <w:b/>
                <w:bCs/>
              </w:rPr>
              <w:t>Forms / Documents</w:t>
            </w:r>
            <w:r w:rsidR="00410032">
              <w:rPr>
                <w:b/>
                <w:bCs/>
              </w:rPr>
              <w:t xml:space="preserve"> Needed</w:t>
            </w:r>
            <w:r>
              <w:rPr>
                <w:b/>
                <w:bCs/>
              </w:rPr>
              <w:t xml:space="preserve"> for All Services</w:t>
            </w:r>
          </w:p>
        </w:tc>
        <w:tc>
          <w:tcPr>
            <w:tcW w:w="720" w:type="pct"/>
            <w:shd w:val="clear" w:color="auto" w:fill="A8D08D" w:themeFill="accent6" w:themeFillTint="99"/>
            <w:vAlign w:val="center"/>
            <w:hideMark/>
          </w:tcPr>
          <w:p w14:paraId="1E2D96AB" w14:textId="77777777" w:rsidR="00AA1362" w:rsidRPr="00AA1362" w:rsidRDefault="00AA1362" w:rsidP="002C50F0">
            <w:pPr>
              <w:jc w:val="center"/>
            </w:pPr>
            <w:r w:rsidRPr="00AA1362">
              <w:rPr>
                <w:b/>
                <w:bCs/>
              </w:rPr>
              <w:t>B</w:t>
            </w:r>
            <w:r w:rsidRPr="00562E83">
              <w:rPr>
                <w:b/>
                <w:bCs/>
                <w:shd w:val="clear" w:color="auto" w:fill="A8D08D" w:themeFill="accent6" w:themeFillTint="99"/>
              </w:rPr>
              <w:t>A</w:t>
            </w:r>
            <w:r w:rsidRPr="00AA1362">
              <w:rPr>
                <w:b/>
                <w:bCs/>
              </w:rPr>
              <w:t>H</w:t>
            </w:r>
          </w:p>
        </w:tc>
        <w:tc>
          <w:tcPr>
            <w:tcW w:w="692" w:type="pct"/>
            <w:gridSpan w:val="2"/>
            <w:shd w:val="clear" w:color="auto" w:fill="A8D08D" w:themeFill="accent6" w:themeFillTint="99"/>
            <w:vAlign w:val="center"/>
            <w:hideMark/>
          </w:tcPr>
          <w:p w14:paraId="55F9ED19" w14:textId="77777777" w:rsidR="00AA1362" w:rsidRPr="00AA1362" w:rsidRDefault="00AA1362" w:rsidP="002C50F0">
            <w:pPr>
              <w:jc w:val="center"/>
            </w:pPr>
            <w:r w:rsidRPr="00AA1362">
              <w:rPr>
                <w:b/>
                <w:bCs/>
              </w:rPr>
              <w:t>ID</w:t>
            </w:r>
          </w:p>
        </w:tc>
      </w:tr>
      <w:tr w:rsidR="002C5A08" w:rsidRPr="00AA1362" w14:paraId="664FF67C" w14:textId="77777777" w:rsidTr="00F91A58">
        <w:trPr>
          <w:tblCellSpacing w:w="7" w:type="dxa"/>
        </w:trPr>
        <w:tc>
          <w:tcPr>
            <w:tcW w:w="3502" w:type="pct"/>
            <w:gridSpan w:val="2"/>
          </w:tcPr>
          <w:p w14:paraId="3F43592C" w14:textId="77777777" w:rsidR="002C5A08" w:rsidRPr="00C12469" w:rsidRDefault="002C5A08" w:rsidP="002C5A08">
            <w:r w:rsidRPr="00C12469">
              <w:t xml:space="preserve">Relationship documents (for initial application): marriage certificate, birth certificate, adoption decree, etc. </w:t>
            </w:r>
          </w:p>
        </w:tc>
        <w:tc>
          <w:tcPr>
            <w:tcW w:w="776" w:type="pct"/>
            <w:gridSpan w:val="2"/>
          </w:tcPr>
          <w:p w14:paraId="15C0D284" w14:textId="77777777" w:rsidR="002C5A08" w:rsidRPr="00EF2B83" w:rsidRDefault="002C5A08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  <w:tc>
          <w:tcPr>
            <w:tcW w:w="692" w:type="pct"/>
            <w:gridSpan w:val="2"/>
          </w:tcPr>
          <w:p w14:paraId="2158CA27" w14:textId="77777777" w:rsidR="002C5A08" w:rsidRPr="00EF2B83" w:rsidRDefault="002C5A08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</w:tr>
      <w:tr w:rsidR="004A3E1D" w:rsidRPr="00AA1362" w14:paraId="5D75FAF2" w14:textId="77777777" w:rsidTr="00F91A58">
        <w:trPr>
          <w:tblCellSpacing w:w="7" w:type="dxa"/>
        </w:trPr>
        <w:tc>
          <w:tcPr>
            <w:tcW w:w="3502" w:type="pct"/>
            <w:gridSpan w:val="2"/>
            <w:vAlign w:val="center"/>
            <w:hideMark/>
          </w:tcPr>
          <w:p w14:paraId="24AFD55B" w14:textId="77777777" w:rsidR="008A62E4" w:rsidRPr="00E47632" w:rsidRDefault="008A62E4" w:rsidP="00D311B8">
            <w:pPr>
              <w:rPr>
                <w:i/>
              </w:rPr>
            </w:pPr>
            <w:r w:rsidRPr="002C5A08">
              <w:t>DD 1172-2</w:t>
            </w:r>
            <w:r w:rsidRPr="00AA1362">
              <w:t>  (Application for Identification Card/DEERS Enrollment)</w:t>
            </w:r>
            <w:r w:rsidR="00E47632">
              <w:t xml:space="preserve"> </w:t>
            </w:r>
            <w:r w:rsidR="00E47632">
              <w:rPr>
                <w:i/>
              </w:rPr>
              <w:t xml:space="preserve">If the I.D. card has expired and the application has been submitted a waiver could be provided for the waiting period until final approval. </w:t>
            </w:r>
          </w:p>
        </w:tc>
        <w:tc>
          <w:tcPr>
            <w:tcW w:w="776" w:type="pct"/>
            <w:gridSpan w:val="2"/>
            <w:vAlign w:val="center"/>
            <w:hideMark/>
          </w:tcPr>
          <w:p w14:paraId="0898C387" w14:textId="77777777" w:rsidR="008A62E4" w:rsidRPr="00AA1362" w:rsidRDefault="008A62E4" w:rsidP="00D311B8">
            <w:r w:rsidRPr="00AA1362">
              <w:t> </w:t>
            </w:r>
          </w:p>
        </w:tc>
        <w:tc>
          <w:tcPr>
            <w:tcW w:w="692" w:type="pct"/>
            <w:gridSpan w:val="2"/>
            <w:vAlign w:val="center"/>
            <w:hideMark/>
          </w:tcPr>
          <w:p w14:paraId="6791BFBF" w14:textId="77777777" w:rsidR="008A62E4" w:rsidRPr="00EF2B83" w:rsidRDefault="008A62E4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</w:tr>
      <w:tr w:rsidR="00B16BFF" w:rsidRPr="00AA1362" w14:paraId="0B015D57" w14:textId="77777777" w:rsidTr="00F91A58">
        <w:trPr>
          <w:tblCellSpacing w:w="7" w:type="dxa"/>
        </w:trPr>
        <w:tc>
          <w:tcPr>
            <w:tcW w:w="3558" w:type="pct"/>
            <w:gridSpan w:val="3"/>
            <w:vAlign w:val="center"/>
            <w:hideMark/>
          </w:tcPr>
          <w:p w14:paraId="1228F9B9" w14:textId="77777777" w:rsidR="00AA1362" w:rsidRPr="00AA1362" w:rsidRDefault="00AA1362" w:rsidP="002C5A08">
            <w:r w:rsidRPr="002C5A08">
              <w:t>DD Form 137-5</w:t>
            </w:r>
            <w:r w:rsidR="00410032">
              <w:t>, Dependency Statement, Incapacitated Child Over Age 21:</w:t>
            </w:r>
            <w:r w:rsidR="002C5A08">
              <w:t xml:space="preserve"> </w:t>
            </w:r>
            <w:hyperlink r:id="rId5" w:history="1">
              <w:r w:rsidR="002C5A08" w:rsidRPr="002C5A08">
                <w:rPr>
                  <w:rStyle w:val="Hyperlink"/>
                </w:rPr>
                <w:t>http://www.dtic.mil/whs/directives/forms/eforms/dd0137-5.pdf</w:t>
              </w:r>
            </w:hyperlink>
          </w:p>
        </w:tc>
        <w:tc>
          <w:tcPr>
            <w:tcW w:w="720" w:type="pct"/>
            <w:vAlign w:val="center"/>
            <w:hideMark/>
          </w:tcPr>
          <w:p w14:paraId="4900DF96" w14:textId="77777777" w:rsidR="00AA1362" w:rsidRPr="00EF2B83" w:rsidRDefault="00AA1362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  <w:tc>
          <w:tcPr>
            <w:tcW w:w="692" w:type="pct"/>
            <w:gridSpan w:val="2"/>
            <w:vAlign w:val="center"/>
            <w:hideMark/>
          </w:tcPr>
          <w:p w14:paraId="418E4BDE" w14:textId="77777777" w:rsidR="00AA1362" w:rsidRPr="00EF2B83" w:rsidRDefault="00AA1362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</w:tr>
      <w:tr w:rsidR="00B16BFF" w:rsidRPr="00AA1362" w14:paraId="41ED3E03" w14:textId="77777777" w:rsidTr="00F91A58">
        <w:trPr>
          <w:tblCellSpacing w:w="7" w:type="dxa"/>
        </w:trPr>
        <w:tc>
          <w:tcPr>
            <w:tcW w:w="3558" w:type="pct"/>
            <w:gridSpan w:val="3"/>
            <w:vAlign w:val="center"/>
            <w:hideMark/>
          </w:tcPr>
          <w:p w14:paraId="4E669657" w14:textId="5249B9CF" w:rsidR="00AA1362" w:rsidRPr="00AA1362" w:rsidRDefault="004A3E1D" w:rsidP="00814B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7FBD7" wp14:editId="3C355E9E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398780</wp:posOffset>
                      </wp:positionV>
                      <wp:extent cx="1409700" cy="166370"/>
                      <wp:effectExtent l="0" t="19050" r="38100" b="4318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663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CA3D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74.9pt;margin-top:31.4pt;width:111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" adj="20325" fillcolor="#375623 [1609]" strokecolor="#e2efd9 [665]" strokeweight="1pt"/>
                  </w:pict>
                </mc:Fallback>
              </mc:AlternateContent>
            </w:r>
            <w:r w:rsidR="00AA1362" w:rsidRPr="00AA1362">
              <w:t>Medical sufficiency letter signed by a Uniformed Services medical provider or civilian physician.</w:t>
            </w:r>
            <w:r w:rsidR="00814BF8">
              <w:t xml:space="preserve"> Go to your service-specific link </w:t>
            </w:r>
            <w:r w:rsidR="00793D33">
              <w:t xml:space="preserve">below </w:t>
            </w:r>
            <w:bookmarkStart w:id="0" w:name="_GoBack"/>
            <w:bookmarkEnd w:id="0"/>
            <w:r w:rsidR="00814BF8">
              <w:t xml:space="preserve">for an example which will be acceptable  </w:t>
            </w:r>
          </w:p>
        </w:tc>
        <w:tc>
          <w:tcPr>
            <w:tcW w:w="720" w:type="pct"/>
            <w:vAlign w:val="center"/>
            <w:hideMark/>
          </w:tcPr>
          <w:p w14:paraId="50A2693D" w14:textId="77777777" w:rsidR="00AA1362" w:rsidRPr="00EF2B83" w:rsidRDefault="00AA1362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  <w:tc>
          <w:tcPr>
            <w:tcW w:w="692" w:type="pct"/>
            <w:gridSpan w:val="2"/>
            <w:vAlign w:val="center"/>
            <w:hideMark/>
          </w:tcPr>
          <w:p w14:paraId="01AC16A4" w14:textId="77777777" w:rsidR="00AA1362" w:rsidRPr="00EF2B83" w:rsidRDefault="00AA1362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</w:tr>
      <w:tr w:rsidR="00B16BFF" w:rsidRPr="00AA1362" w14:paraId="31F438E0" w14:textId="77777777" w:rsidTr="00F91A58">
        <w:trPr>
          <w:tblCellSpacing w:w="7" w:type="dxa"/>
        </w:trPr>
        <w:tc>
          <w:tcPr>
            <w:tcW w:w="3558" w:type="pct"/>
            <w:gridSpan w:val="3"/>
            <w:vAlign w:val="center"/>
            <w:hideMark/>
          </w:tcPr>
          <w:p w14:paraId="4570C7EB" w14:textId="77777777" w:rsidR="00AA1362" w:rsidRPr="00AA1362" w:rsidRDefault="00B16BFF" w:rsidP="004A3E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BA272" wp14:editId="3013E175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174625</wp:posOffset>
                      </wp:positionV>
                      <wp:extent cx="1409700" cy="166370"/>
                      <wp:effectExtent l="0" t="19050" r="38100" b="4318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663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357D" id="Right Arrow 8" o:spid="_x0000_s1026" type="#_x0000_t13" style="position:absolute;margin-left:174.75pt;margin-top:13.75pt;width:111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" adj="20325" fillcolor="#375623 [1609]" strokecolor="#e2efd9 [665]" strokeweight="1pt"/>
                  </w:pict>
                </mc:Fallback>
              </mc:AlternateContent>
            </w:r>
            <w:r w:rsidR="00AA1362" w:rsidRPr="008A62E4">
              <w:t>Verification of Income</w:t>
            </w:r>
            <w:r w:rsidR="004A3E1D">
              <w:t xml:space="preserve"> and P</w:t>
            </w:r>
            <w:r w:rsidR="00AA1362" w:rsidRPr="008A62E4">
              <w:t>roof of Support</w:t>
            </w:r>
            <w:r w:rsidR="004A3E1D">
              <w:t xml:space="preserve">: </w:t>
            </w:r>
            <w:r w:rsidR="00DE7120">
              <w:t xml:space="preserve"> </w:t>
            </w:r>
            <w:r w:rsidR="004A3E1D">
              <w:t>use your service-specific link to see acceptable documentation</w:t>
            </w:r>
            <w:r>
              <w:rPr>
                <w:noProof/>
              </w:rPr>
              <w:t xml:space="preserve">  </w:t>
            </w:r>
          </w:p>
        </w:tc>
        <w:tc>
          <w:tcPr>
            <w:tcW w:w="720" w:type="pct"/>
            <w:vAlign w:val="center"/>
            <w:hideMark/>
          </w:tcPr>
          <w:p w14:paraId="12B25026" w14:textId="77777777" w:rsidR="00AA1362" w:rsidRPr="00EF2B83" w:rsidRDefault="00AA1362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  <w:tc>
          <w:tcPr>
            <w:tcW w:w="692" w:type="pct"/>
            <w:gridSpan w:val="2"/>
            <w:vAlign w:val="center"/>
            <w:hideMark/>
          </w:tcPr>
          <w:p w14:paraId="5DB98A1C" w14:textId="77777777" w:rsidR="00AA1362" w:rsidRPr="00EF2B83" w:rsidRDefault="00AA1362" w:rsidP="00EF2B83">
            <w:pPr>
              <w:jc w:val="center"/>
              <w:rPr>
                <w:b/>
              </w:rPr>
            </w:pPr>
            <w:r w:rsidRPr="00EF2B83">
              <w:rPr>
                <w:b/>
              </w:rPr>
              <w:t>X</w:t>
            </w:r>
          </w:p>
        </w:tc>
      </w:tr>
      <w:tr w:rsidR="00DE7120" w:rsidRPr="002C5A08" w14:paraId="0296E711" w14:textId="77777777" w:rsidTr="00F91A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48" w:type="pct"/>
          <w:wAfter w:w="2" w:type="pct"/>
          <w:tblCellSpacing w:w="7" w:type="dxa"/>
        </w:trPr>
        <w:tc>
          <w:tcPr>
            <w:tcW w:w="492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DA3DE60" w14:textId="77777777" w:rsidR="00DE7120" w:rsidRPr="004A3E1D" w:rsidRDefault="00DE7120" w:rsidP="002C5A08">
            <w:pPr>
              <w:rPr>
                <w:b/>
              </w:rPr>
            </w:pPr>
            <w:r w:rsidRPr="004A3E1D">
              <w:rPr>
                <w:b/>
              </w:rPr>
              <w:t xml:space="preserve">DFAS page leading to information for Army, Air Force, Navy and Marine Corps-specific information: </w:t>
            </w:r>
            <w:hyperlink r:id="rId6" w:history="1">
              <w:r w:rsidRPr="004A3E1D">
                <w:rPr>
                  <w:rStyle w:val="Hyperlink"/>
                  <w:b/>
                </w:rPr>
                <w:t>http://www.dfas.mil/militarymembers/SecondaryDependency/SDC.html</w:t>
              </w:r>
            </w:hyperlink>
          </w:p>
        </w:tc>
      </w:tr>
      <w:tr w:rsidR="00DE7120" w:rsidRPr="00DE7120" w14:paraId="12C4A6EA" w14:textId="77777777" w:rsidTr="00F91A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1"/>
          <w:wBefore w:w="48" w:type="pct"/>
          <w:wAfter w:w="2" w:type="pct"/>
          <w:tblCellSpacing w:w="7" w:type="dxa"/>
        </w:trPr>
        <w:tc>
          <w:tcPr>
            <w:tcW w:w="492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1C26" w14:textId="77777777" w:rsidR="00DE7120" w:rsidRPr="00DE7120" w:rsidRDefault="00DE7120" w:rsidP="002C5A08">
            <w:pPr>
              <w:rPr>
                <w:b/>
              </w:rPr>
            </w:pPr>
            <w:r w:rsidRPr="00DE7120">
              <w:rPr>
                <w:b/>
              </w:rPr>
              <w:t xml:space="preserve">Army: </w:t>
            </w:r>
            <w:hyperlink r:id="rId7" w:history="1">
              <w:r w:rsidRPr="00DE7120">
                <w:rPr>
                  <w:rStyle w:val="Hyperlink"/>
                  <w:b/>
                </w:rPr>
                <w:t>http://www.dfas.mil/militarymembers/SecondaryDependency/SDC/secondarydependency_Army.html</w:t>
              </w:r>
            </w:hyperlink>
          </w:p>
          <w:p w14:paraId="7AE3E35D" w14:textId="77777777" w:rsidR="00DE7120" w:rsidRPr="00DE7120" w:rsidRDefault="00DE7120" w:rsidP="002C5A08">
            <w:pPr>
              <w:rPr>
                <w:b/>
              </w:rPr>
            </w:pPr>
            <w:r w:rsidRPr="00DE7120">
              <w:rPr>
                <w:b/>
              </w:rPr>
              <w:t xml:space="preserve">Navy: </w:t>
            </w:r>
            <w:hyperlink r:id="rId8" w:history="1">
              <w:r w:rsidRPr="00DE7120">
                <w:rPr>
                  <w:rStyle w:val="Hyperlink"/>
                  <w:b/>
                </w:rPr>
                <w:t>http://www.dfas.mil/militarymembers/SecondaryDependency/SDC/secondarydependency_Navy/help_Navy.html</w:t>
              </w:r>
            </w:hyperlink>
          </w:p>
          <w:p w14:paraId="13966232" w14:textId="77777777" w:rsidR="00DE7120" w:rsidRPr="00DE7120" w:rsidRDefault="00DE7120" w:rsidP="002C5A08">
            <w:pPr>
              <w:rPr>
                <w:b/>
              </w:rPr>
            </w:pPr>
            <w:r w:rsidRPr="00DE7120">
              <w:rPr>
                <w:b/>
              </w:rPr>
              <w:t xml:space="preserve">Air Force: </w:t>
            </w:r>
            <w:hyperlink r:id="rId9" w:history="1">
              <w:r w:rsidRPr="00DE7120">
                <w:rPr>
                  <w:rStyle w:val="Hyperlink"/>
                  <w:b/>
                </w:rPr>
                <w:t>http://www.dfas.mil/militarymembers/SecondaryDependency/SDC/secondarydependency_AirForce.html</w:t>
              </w:r>
            </w:hyperlink>
          </w:p>
          <w:p w14:paraId="0B41D1F0" w14:textId="77777777" w:rsidR="00DE7120" w:rsidRPr="00DE7120" w:rsidRDefault="00DE7120" w:rsidP="002C5A08">
            <w:pPr>
              <w:rPr>
                <w:b/>
              </w:rPr>
            </w:pPr>
            <w:r w:rsidRPr="00DE7120">
              <w:rPr>
                <w:b/>
              </w:rPr>
              <w:t xml:space="preserve">Marine Corps: </w:t>
            </w:r>
            <w:hyperlink r:id="rId10" w:history="1">
              <w:r w:rsidRPr="00B16BFF">
                <w:rPr>
                  <w:rStyle w:val="Hyperlink"/>
                  <w:b/>
                </w:rPr>
                <w:t>http://www.dfas.mil/militarymembers/SecondaryDependency/SDC/secondarydependency_Marines.html</w:t>
              </w:r>
            </w:hyperlink>
          </w:p>
          <w:p w14:paraId="771F9962" w14:textId="77777777" w:rsidR="00DE7120" w:rsidRDefault="003246FF" w:rsidP="00814BF8">
            <w:pPr>
              <w:rPr>
                <w:b/>
              </w:rPr>
            </w:pPr>
            <w:r>
              <w:rPr>
                <w:b/>
              </w:rPr>
              <w:t>Coast Guard</w:t>
            </w:r>
            <w:hyperlink r:id="rId11" w:history="1">
              <w:r w:rsidRPr="003246FF">
                <w:rPr>
                  <w:rStyle w:val="Hyperlink"/>
                  <w:b/>
                </w:rPr>
                <w:t>: http://www.uscg.mil/ppc/guides/gp/spo/PersonalData/QuestionableDependent.pdf</w:t>
              </w:r>
            </w:hyperlink>
          </w:p>
          <w:p w14:paraId="124C4375" w14:textId="77777777" w:rsidR="003246FF" w:rsidRPr="00DE7120" w:rsidRDefault="00F5395A" w:rsidP="00814BF8">
            <w:pPr>
              <w:rPr>
                <w:b/>
              </w:rPr>
            </w:pPr>
            <w:hyperlink r:id="rId12" w:history="1">
              <w:r w:rsidR="003246FF" w:rsidRPr="003246FF">
                <w:rPr>
                  <w:rStyle w:val="Hyperlink"/>
                  <w:b/>
                </w:rPr>
                <w:t>http://www.uscg.mil/ppc/guides/gp/spo/PersonalData/Dependent%20Information%20SPO%20User%20Guide.pdf</w:t>
              </w:r>
            </w:hyperlink>
          </w:p>
        </w:tc>
      </w:tr>
    </w:tbl>
    <w:p w14:paraId="1D441675" w14:textId="77777777" w:rsidR="00AA1362" w:rsidRDefault="00AA1362" w:rsidP="00F91A58"/>
    <w:sectPr w:rsidR="00AA1362" w:rsidSect="002A72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62"/>
    <w:rsid w:val="002511AC"/>
    <w:rsid w:val="00287DE3"/>
    <w:rsid w:val="002A72E1"/>
    <w:rsid w:val="002C50F0"/>
    <w:rsid w:val="002C5A08"/>
    <w:rsid w:val="003246FF"/>
    <w:rsid w:val="00410032"/>
    <w:rsid w:val="004A3E1D"/>
    <w:rsid w:val="004B33AD"/>
    <w:rsid w:val="00562E83"/>
    <w:rsid w:val="006D4812"/>
    <w:rsid w:val="00702725"/>
    <w:rsid w:val="00793D33"/>
    <w:rsid w:val="007F5911"/>
    <w:rsid w:val="00814BF8"/>
    <w:rsid w:val="008A62E4"/>
    <w:rsid w:val="009F243F"/>
    <w:rsid w:val="00A16275"/>
    <w:rsid w:val="00AA1362"/>
    <w:rsid w:val="00B16BFF"/>
    <w:rsid w:val="00BE06F2"/>
    <w:rsid w:val="00C136CD"/>
    <w:rsid w:val="00D85D7E"/>
    <w:rsid w:val="00DE7120"/>
    <w:rsid w:val="00E47632"/>
    <w:rsid w:val="00EF2B83"/>
    <w:rsid w:val="00F5395A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F17C"/>
  <w15:chartTrackingRefBased/>
  <w15:docId w15:val="{3136850A-ECE0-4562-9F07-264CE62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3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s.mil/militarymembers/SecondaryDependency/SDC/secondarydependency_Navy/help_Nav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fas.mil/militarymembers/SecondaryDependency/SDC/secondarydependency_Army.html" TargetMode="External"/><Relationship Id="rId12" Type="http://schemas.openxmlformats.org/officeDocument/2006/relationships/hyperlink" Target="http://www.uscg.mil/ppc/guides/gp/spo/PersonalData/Dependent%20Information%20SPO%20User%20Guid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fas.mil/militarymembers/SecondaryDependency/SDC.html" TargetMode="External"/><Relationship Id="rId11" Type="http://schemas.openxmlformats.org/officeDocument/2006/relationships/hyperlink" Target="file:///C:\Users\User\AppData\Local\Microsoft\Windows\INetCache\Content.Outlook\OUQ2HBV8\:%20http:\www.uscg.mil\ppc\guides\gp\spo\PersonalData\QuestionableDependent.pdf" TargetMode="External"/><Relationship Id="rId5" Type="http://schemas.openxmlformats.org/officeDocument/2006/relationships/hyperlink" Target="http://www.dtic.mil/whs/directives/forms/eforms/dd0137-5.pdf" TargetMode="External"/><Relationship Id="rId10" Type="http://schemas.openxmlformats.org/officeDocument/2006/relationships/hyperlink" Target="http://www.dfas.mil/militarymembers/SecondaryDependency/SDC/secondarydependency_Marine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fas.mil/militarymembers/SecondaryDependency/SDC/secondarydependency_AirFor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8</cp:revision>
  <dcterms:created xsi:type="dcterms:W3CDTF">2016-01-26T18:28:00Z</dcterms:created>
  <dcterms:modified xsi:type="dcterms:W3CDTF">2018-07-31T17:31:00Z</dcterms:modified>
</cp:coreProperties>
</file>